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eastAsia="宋体"/>
          <w:b/>
          <w:bCs/>
          <w:sz w:val="28"/>
          <w:szCs w:val="36"/>
          <w:lang w:val="en-US" w:eastAsia="zh-CN"/>
        </w:rPr>
      </w:pPr>
      <w:bookmarkStart w:id="0" w:name="_Toc82854016"/>
      <w:r>
        <w:rPr>
          <w:rFonts w:hint="eastAsia"/>
          <w:b/>
          <w:bCs/>
          <w:sz w:val="28"/>
          <w:szCs w:val="36"/>
          <w:lang w:val="en-US" w:eastAsia="zh-CN"/>
        </w:rPr>
        <w:t>会计专业、电子商务专业题库招标公告</w:t>
      </w:r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技术参数</w:t>
      </w:r>
    </w:p>
    <w:p>
      <w:pPr>
        <w:pStyle w:val="6"/>
      </w:pPr>
    </w:p>
    <w:tbl>
      <w:tblPr>
        <w:tblStyle w:val="9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669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采购内容</w:t>
            </w:r>
          </w:p>
        </w:tc>
        <w:tc>
          <w:tcPr>
            <w:tcW w:w="667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会计专业技能操作实训题库</w:t>
            </w:r>
          </w:p>
        </w:tc>
        <w:tc>
          <w:tcPr>
            <w:tcW w:w="6676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1、本次新增试题题库包含最新考试大纲涵盖的内容，提供会计专业技能高考模拟题库，题库类型包含专业应知部分考核内容，实现会计专业技能高考模拟训练。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2、执行财政部颁布的《企业会计准则》、《财政部关于修改&lt;企业会计准则——基本准则&gt;的决定》（2014.07.23）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；与技能考试一致。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3、模拟试题增加了计算量和计算难度，在训练过程中进行充分的高考准备。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题目紧密结合技能高考考试大纲，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基础性题目增加了学生掌握较为薄弱的合理损耗业务、固定资产处置业务、交易性金融资产业务等，加大了计算量。业务处理紧密结合新收入准则，不仅将“合同资产”、“合同负债”纳入实操题考核，而且将“合同履约成本”纳入实操题考核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主要涉及知识点：</w:t>
            </w:r>
          </w:p>
          <w:p>
            <w:pPr>
              <w:pStyle w:val="6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资金的筹集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材料的采购、入库和领用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材料成本的计算和处理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固定资产的取得、清理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材料费用的归集与分配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职工薪酬的分配与发放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计提固定资产折旧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水电费和差旅费等费用发生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制造费用的分配和结转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完工产品成本的计算和结转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销售收入的确认、销售成本的计算和结转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销售费用的发生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计提坏账准备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财产清查结果的业务处理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利息的计提和支付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其他业务收入和其他业务成本的处理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营业外收入和营业外支出的处理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税费的计提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损益的结转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利润的计算与分配。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5、资源数量：实操试题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套，每套实训业务数量45笔左右。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6、课程资源：《基础会计》动画不少于35个，课件不少于35个，电子教案不少于35个，习题不少于35套（每套30道左右），案例分析不少于35套（每套1-3个案例），课堂游戏不少于35套（每套1-2个游戏）。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具体内容：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模块1 认识会计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任务1-《了解企业》： 配套微课动画：进城办企业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任务2-《了解会计工作》： 配套微课动画：会计的“告白”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任务3-《学写规范字》：配套微课动画：培训班那些事1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任务4-《学用台式计算器》：配套微课动画：培训班那些事2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模块2 填制企业业务单据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任务1-《业务员填写单据》：配套微课动画：业务员和票据的故事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任务2-出纳员填写单据：配套微课动画：出纳员和票据的故事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任务3、4-《仓管员填写单据》：配套微课动画：仓管员和票据的故事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任务5-《认识原始凭证》：配套微课动画：同福与原始凭证的故事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模块3 理解借贷记账法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任务1-《分清会计要素》：配套微课动画：我要当掌柜1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任务1-《分清会计要素》：配套微课动画：我要当掌柜2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任务2-《掌握借贷记账法》：配套微课动画：平衡的思维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任务3-《账户的平行登记》：配套微课动画：平行地来，平行地去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模块4 填制记账凭证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任务1-《认识记账凭证》：配套微课动画：我要填凭证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任务2-《筹资业务核算》：配套微课动画：我要借钱扩规模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任务3-《材料采购业务核算》：配套微课动画：今天我买菜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任务4-《生产业务核算》：配套微课动画：一起来包大粽子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任务5-《销售业务核算》：配套微课动画：名片满天飞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任务6-《其他业务核算》：配套微课动画：出发吧，卧底！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任务7-《经营成果业务核算》：配套微课动画：一分耕耘，一分收获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任务8-《审核记账凭证》：配套微课动画：把关，让我来！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任务9-《编制科目汇总表》：配套微课动画：聚沙成塔，积少成多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模块5  登记账簿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任务1-《认识账簿》：配套微课动画：账簿的“魅力”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任务2-《建账》：配套微课动画：小账簿，大学问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任务3-《出纳员登记日记账》：配套微课动画：出纳员与日记账的故事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任务4-《仓管员登记存货账》：配套微课动画： 仓管员与存货账的故事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任务5-《会计员登记账簿》：配套微课动画：会计员与账簿的故事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任务6-《错账更正》：配套微课动画：知错能改，善莫大焉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任务7-《对账》：配套微课动画：温故而知“错”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模块6  编制财务报表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任务1-《编制利润表》：配套微课动画：佟掌柜的良苦用心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任务2-《编制资产负债表》：配套微课动画：同福财务大摸底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任务3-《认识财务报表》：配套微课动画：不简单的财务报表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模块7  整理保管会计资料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任务1-《会计资料的整理和装订》：配套微课动画：会计都是处女座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任务2-《保管会计资料》：配套微课动画：同福客栈的秘密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模块8  会计假设与循环</w:t>
            </w:r>
          </w:p>
          <w:p>
            <w:pPr>
              <w:pStyle w:val="6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任务1-《会计核算的基本要求》：配套微课动画：原则问题不让步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任务2-《会计核算的程序》：配套微课动画：繁而有序。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电子商务技能操作实训题库</w:t>
            </w:r>
          </w:p>
        </w:tc>
        <w:tc>
          <w:tcPr>
            <w:tcW w:w="6676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题型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利用计算机软件进行网店装修、商品图片处理及对商品信息进行编辑（150.00分）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能运用常用网络营销手段进行营销推广（120.00分）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能运用客户服务基本技能处理客服常见基本问题。（70.00分）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业务主体涵盖：耐克A体育用品旗舰店、耐克B体育用品旗舰店、得力官方2A旗舰店、得力官方B2旗舰店、雷士居家专卖店、欧普家居食品专卖店、博弈智慧数码家居专卖店、上海维鑫家居科技专营店、罗莱居家杂货旗舰店、俪布网数码家装旗舰店，题量每套不少于30道题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业务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类型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1.题干涉及“网店装修”、“网店运营”以及“网络客服”3个部分组成。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2.网店装修包括“店招设计”、“装修设计”、“分类栏设计”、“商品详情设计”、“商品发布”5个部分的内容。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3.在店招设计中，可对店铺基本信息进行设置，包括店铺名称、资金、店标、店铺banner以及店铺公告等。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4.在装修设计中，可通过调整RGB值对店铺整体风格进行设置。通过将店铺模块按钮拖拽到店铺页面的对应区域，对网店的布局进行设计。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5.在分类栏设计中，可添加商品的分类，对分类进行排序处理。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6.在商品详情设计中，可对商品的名称、计量单位、上架时间、关键字等商品基本信息进行设置。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7.在商品发布中，可对商品的介绍图以及推荐图进行设置，对商品上、下架进行处理。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8.在网络客服中，仿真模拟客服服务与处理平台，提供客服处理情景，考核学生客服问题处理以及应变能力。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9.网店运营包括两个部分：微博营销以及微信营销，通过微博以及微信实现整合营销。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10.在微信营销中，包括场景制作以及长页图制作两个部分。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11.微信营销场景制作中，可通过设置文字、图片、图标、表单、组件、动画等场景参数完成场景制作。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12.在微博营销中，让学生通过注册、认证、发布微博、进行评论互动、粉丝服务以及营销推广，了解现代电子商务微博营销手段的运用。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13.在微博营销中，可通过注册不同类型的微博，形成企业微博营销矩阵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三、题库数量：5套</w:t>
            </w:r>
          </w:p>
        </w:tc>
      </w:tr>
    </w:tbl>
    <w:p>
      <w:pPr>
        <w:pStyle w:val="6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TYyZGRmMDM2NjhjNjQ3Y2IwNmM1N2YzZGE0NDEifQ=="/>
  </w:docVars>
  <w:rsids>
    <w:rsidRoot w:val="14846EED"/>
    <w:rsid w:val="01FD765E"/>
    <w:rsid w:val="0E5912EC"/>
    <w:rsid w:val="13A44D3D"/>
    <w:rsid w:val="14250EBC"/>
    <w:rsid w:val="142F0C85"/>
    <w:rsid w:val="14846EED"/>
    <w:rsid w:val="176C4596"/>
    <w:rsid w:val="24DD5B8E"/>
    <w:rsid w:val="3445726E"/>
    <w:rsid w:val="4A00560C"/>
    <w:rsid w:val="5AAC799F"/>
    <w:rsid w:val="62992700"/>
    <w:rsid w:val="667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after="50" w:afterLines="50"/>
      <w:ind w:right="0"/>
      <w:jc w:val="left"/>
      <w:outlineLvl w:val="1"/>
    </w:pPr>
    <w:rPr>
      <w:rFonts w:ascii="宋体" w:hAnsi="宋体" w:eastAsia="宋体" w:cs="宋体"/>
      <w:b/>
      <w:sz w:val="28"/>
      <w:szCs w:val="32"/>
      <w:lang w:val="zh-CN" w:bidi="zh-CN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Body Text"/>
    <w:basedOn w:val="1"/>
    <w:next w:val="1"/>
    <w:qFormat/>
    <w:uiPriority w:val="0"/>
    <w:rPr>
      <w:sz w:val="24"/>
    </w:rPr>
  </w:style>
  <w:style w:type="paragraph" w:styleId="7">
    <w:name w:val="Body Text First Indent"/>
    <w:basedOn w:val="6"/>
    <w:next w:val="1"/>
    <w:qFormat/>
    <w:uiPriority w:val="0"/>
    <w:pPr>
      <w:spacing w:line="300" w:lineRule="auto"/>
      <w:ind w:firstLine="602"/>
      <w:jc w:val="left"/>
    </w:pPr>
    <w:rPr>
      <w:sz w:val="2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Char"/>
    <w:link w:val="3"/>
    <w:qFormat/>
    <w:uiPriority w:val="0"/>
    <w:rPr>
      <w:rFonts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2498</Words>
  <Characters>2597</Characters>
  <Lines>0</Lines>
  <Paragraphs>0</Paragraphs>
  <TotalTime>1</TotalTime>
  <ScaleCrop>false</ScaleCrop>
  <LinksUpToDate>false</LinksUpToDate>
  <CharactersWithSpaces>2612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2023-02-27T03:15:00Z</dcterms:created>
  <dc:creator>LENOVO</dc:creator>
  <cp:lastModifiedBy>席乾</cp:lastModifiedBy>
  <dcterms:modified xsi:type="dcterms:W3CDTF">2023-03-20T10:32:25Z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EB34D5CA25474F96BB862B5BF28187EE</vt:lpwstr>
  </property>
</Properties>
</file>